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3D76954E" w:rsidR="00F01182" w:rsidRPr="00F87A4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</w:t>
      </w:r>
      <w:r w:rsidR="00AE32FA">
        <w:rPr>
          <w:rFonts w:cs="Arial"/>
          <w:sz w:val="24"/>
          <w:szCs w:val="24"/>
        </w:rPr>
        <w:t>1</w:t>
      </w:r>
      <w:r w:rsidRPr="00AB081E">
        <w:rPr>
          <w:rFonts w:cs="Arial"/>
          <w:sz w:val="24"/>
          <w:szCs w:val="24"/>
        </w:rPr>
        <w:t>-</w:t>
      </w:r>
      <w:r w:rsidR="00821025"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304F73" w:rsidRPr="00304F73">
        <w:rPr>
          <w:rFonts w:cs="Arial"/>
          <w:noProof w:val="0"/>
          <w:sz w:val="24"/>
        </w:rPr>
        <w:t>R4-</w:t>
      </w:r>
      <w:r w:rsidR="007E29FE" w:rsidRPr="007E29FE">
        <w:t xml:space="preserve"> </w:t>
      </w:r>
      <w:r w:rsidR="007E29FE" w:rsidRPr="007E29FE">
        <w:rPr>
          <w:rFonts w:cs="Arial"/>
          <w:noProof w:val="0"/>
          <w:sz w:val="24"/>
        </w:rPr>
        <w:t>2201789</w:t>
      </w:r>
    </w:p>
    <w:p w14:paraId="67F14A92" w14:textId="624945A3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F87A45">
        <w:rPr>
          <w:rFonts w:cs="Arial"/>
          <w:sz w:val="24"/>
          <w:szCs w:val="24"/>
        </w:rPr>
        <w:t>January</w:t>
      </w:r>
      <w:r w:rsidR="0069055F">
        <w:rPr>
          <w:rFonts w:cs="Arial"/>
          <w:sz w:val="24"/>
          <w:szCs w:val="24"/>
        </w:rPr>
        <w:t xml:space="preserve"> 17</w:t>
      </w:r>
      <w:r w:rsidR="00AE32FA" w:rsidRPr="00AE32FA">
        <w:rPr>
          <w:rFonts w:cs="Arial"/>
          <w:sz w:val="24"/>
          <w:szCs w:val="24"/>
        </w:rPr>
        <w:t>-</w:t>
      </w:r>
      <w:r w:rsidR="0069055F">
        <w:rPr>
          <w:rFonts w:cs="Arial"/>
          <w:sz w:val="24"/>
          <w:szCs w:val="24"/>
        </w:rPr>
        <w:t>25</w:t>
      </w:r>
      <w:r w:rsidR="00AE32FA" w:rsidRPr="00AE32FA">
        <w:rPr>
          <w:rFonts w:cs="Arial"/>
          <w:sz w:val="24"/>
          <w:szCs w:val="24"/>
        </w:rPr>
        <w:t>, 202</w:t>
      </w:r>
      <w:r w:rsidR="0069055F"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21EEA55D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F87A45">
        <w:rPr>
          <w:rFonts w:ascii="Arial" w:hAnsi="Arial" w:cs="Arial"/>
          <w:b/>
          <w:sz w:val="24"/>
        </w:rPr>
        <w:t>6</w:t>
      </w:r>
      <w:r w:rsidR="00C65EF3" w:rsidRPr="00AB081E">
        <w:rPr>
          <w:rFonts w:ascii="Arial" w:hAnsi="Arial" w:cs="Arial"/>
          <w:b/>
          <w:sz w:val="24"/>
        </w:rPr>
        <w:t>.</w:t>
      </w:r>
      <w:r w:rsidR="00A21195">
        <w:rPr>
          <w:rFonts w:ascii="Arial" w:hAnsi="Arial" w:cs="Arial"/>
          <w:b/>
          <w:sz w:val="24"/>
        </w:rPr>
        <w:t>16.7.</w:t>
      </w:r>
      <w:r w:rsidR="0035405F">
        <w:rPr>
          <w:rFonts w:ascii="Arial" w:hAnsi="Arial" w:cs="Arial"/>
          <w:b/>
          <w:sz w:val="24"/>
        </w:rPr>
        <w:t>4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271602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>Discussion on BWP switching delay 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5BCEAE57" w:rsidR="008C6931" w:rsidRPr="00431B06" w:rsidRDefault="00F1009D" w:rsidP="00F01182">
      <w:pPr>
        <w:jc w:val="both"/>
      </w:pPr>
      <w:r w:rsidRPr="00431B06">
        <w:t xml:space="preserve">In this paper we </w:t>
      </w:r>
      <w:r>
        <w:t xml:space="preserve">discuss the requirements for cross-carrier active BWP switching delay for new numerologies defined for </w:t>
      </w:r>
      <w:r w:rsidRPr="00627A3B">
        <w:t>NR 52.6 – 71 GHz</w:t>
      </w:r>
      <w:r>
        <w:t xml:space="preserve"> operation.</w:t>
      </w:r>
      <w:r w:rsidRPr="00AE32FA">
        <w:rPr>
          <w:highlight w:val="yellow"/>
        </w:rPr>
        <w:t xml:space="preserve"> 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6D450789" w14:textId="6F89E796" w:rsidR="00975FC9" w:rsidRPr="00975FC9" w:rsidRDefault="00A3307B" w:rsidP="00975FC9">
      <w:r>
        <w:t xml:space="preserve">During the </w:t>
      </w:r>
      <w:r w:rsidR="0055219E">
        <w:t xml:space="preserve">RAN4 #101-e meeting the following was captured in the WF [1]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5FC9" w14:paraId="158A0CBB" w14:textId="77777777" w:rsidTr="00A55DF5">
        <w:tc>
          <w:tcPr>
            <w:tcW w:w="9629" w:type="dxa"/>
          </w:tcPr>
          <w:p w14:paraId="4273EF6A" w14:textId="77777777" w:rsidR="005E1005" w:rsidRDefault="005E1005" w:rsidP="005E1005">
            <w:pPr>
              <w:pStyle w:val="ListParagraph"/>
              <w:numPr>
                <w:ilvl w:val="0"/>
                <w:numId w:val="11"/>
              </w:numPr>
              <w:spacing w:line="480" w:lineRule="auto"/>
            </w:pPr>
            <w:r w:rsidRPr="00E6587A">
              <w:t>Cross-carrier active BWP switching</w:t>
            </w:r>
          </w:p>
          <w:p w14:paraId="74B4950A" w14:textId="77777777" w:rsidR="005E1005" w:rsidRDefault="005E1005" w:rsidP="005E1005">
            <w:pPr>
              <w:pStyle w:val="ListParagraph"/>
              <w:numPr>
                <w:ilvl w:val="1"/>
                <w:numId w:val="11"/>
              </w:numPr>
              <w:spacing w:after="240"/>
              <w:ind w:left="1434" w:hanging="357"/>
              <w:contextualSpacing w:val="0"/>
            </w:pPr>
            <w:r w:rsidRPr="00E6587A">
              <w:t>MRTD value should be considered for BWP switching delay definition in cross-carrier scheduling case.</w:t>
            </w:r>
          </w:p>
          <w:p w14:paraId="4EC6912D" w14:textId="77777777" w:rsidR="005E1005" w:rsidRPr="00A56950" w:rsidRDefault="005E1005" w:rsidP="005E1005">
            <w:pPr>
              <w:pStyle w:val="ListParagraph"/>
              <w:numPr>
                <w:ilvl w:val="1"/>
                <w:numId w:val="11"/>
              </w:numPr>
              <w:spacing w:after="240"/>
              <w:ind w:left="1434" w:hanging="357"/>
              <w:contextualSpacing w:val="0"/>
            </w:pPr>
            <w:r w:rsidRPr="00A56950">
              <w:t xml:space="preserve">RAN4 to further discuss how to </w:t>
            </w:r>
            <w:r>
              <w:t xml:space="preserve">define </w:t>
            </w:r>
            <w:r w:rsidRPr="00A56950">
              <w:t>requirements for cross-carrier BWP switching considering the following questions:</w:t>
            </w:r>
          </w:p>
          <w:p w14:paraId="32BC3E98" w14:textId="77777777" w:rsidR="005E1005" w:rsidRDefault="005E1005" w:rsidP="005E1005">
            <w:pPr>
              <w:pStyle w:val="ListParagraph"/>
              <w:numPr>
                <w:ilvl w:val="2"/>
                <w:numId w:val="11"/>
              </w:numPr>
              <w:spacing w:after="0"/>
              <w:contextualSpacing w:val="0"/>
            </w:pPr>
            <w:r w:rsidRPr="00A56950">
              <w:t>How to account MRTD in cross-carrier BWP switching delay</w:t>
            </w:r>
            <w:r>
              <w:t>:</w:t>
            </w:r>
          </w:p>
          <w:p w14:paraId="7ABA1F7D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  <w:spacing w:before="0" w:after="0"/>
              <w:contextualSpacing w:val="0"/>
            </w:pPr>
            <w:r>
              <w:t xml:space="preserve">Option 1: </w:t>
            </w:r>
            <w:r w:rsidRPr="00A56950">
              <w:t>Several slots according to the MRTD length</w:t>
            </w:r>
          </w:p>
          <w:p w14:paraId="5156E92F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  <w:spacing w:before="0" w:after="0"/>
              <w:contextualSpacing w:val="0"/>
            </w:pPr>
            <w:r>
              <w:t xml:space="preserve">Option 2: </w:t>
            </w:r>
            <w:r w:rsidRPr="00F108DF">
              <w:t>1 slot to reserve misalignment in case of asynchronous between two carriers</w:t>
            </w:r>
          </w:p>
          <w:p w14:paraId="0E3C83C6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  <w:spacing w:before="0"/>
              <w:contextualSpacing w:val="0"/>
            </w:pPr>
            <w:r>
              <w:t>Other options are not precluded</w:t>
            </w:r>
          </w:p>
          <w:p w14:paraId="4297F249" w14:textId="77777777" w:rsidR="005E1005" w:rsidRDefault="005E1005" w:rsidP="005E1005">
            <w:pPr>
              <w:pStyle w:val="ListParagraph"/>
              <w:numPr>
                <w:ilvl w:val="2"/>
                <w:numId w:val="11"/>
              </w:numPr>
              <w:spacing w:after="240"/>
            </w:pPr>
            <w:r w:rsidRPr="00A56950">
              <w:t>How to consider additional margin for cross-carrier scheduling</w:t>
            </w:r>
          </w:p>
          <w:p w14:paraId="5A36AC91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</w:pPr>
            <w:r>
              <w:t>Option 1: Any option of previous question covers the margin as c</w:t>
            </w:r>
            <w:r w:rsidRPr="00357ACA">
              <w:t>eiling to the integer number</w:t>
            </w:r>
            <w:r>
              <w:t xml:space="preserve"> provides </w:t>
            </w:r>
            <w:r w:rsidRPr="00357ACA">
              <w:t>additional time for cross-carrier processing</w:t>
            </w:r>
          </w:p>
          <w:p w14:paraId="7E870C8A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</w:pPr>
            <w:r w:rsidRPr="00887525">
              <w:t xml:space="preserve">Option </w:t>
            </w:r>
            <w:r>
              <w:t>2</w:t>
            </w:r>
            <w:r w:rsidRPr="00887525">
              <w:t>: 1 slot of 120 kHz when both scheduling carrier and scheduled carrier are in FR2-2</w:t>
            </w:r>
            <w:r>
              <w:t xml:space="preserve"> (aligned with Option 2 of the previous question)</w:t>
            </w:r>
          </w:p>
          <w:p w14:paraId="1DF9107B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  <w:spacing w:before="0"/>
              <w:contextualSpacing w:val="0"/>
            </w:pPr>
            <w:r>
              <w:t>Other options are not precluded</w:t>
            </w:r>
          </w:p>
          <w:p w14:paraId="76FA0C62" w14:textId="77777777" w:rsidR="005E1005" w:rsidRDefault="005E1005" w:rsidP="005E1005">
            <w:pPr>
              <w:pStyle w:val="ListParagraph"/>
              <w:numPr>
                <w:ilvl w:val="2"/>
                <w:numId w:val="11"/>
              </w:numPr>
              <w:spacing w:after="240"/>
            </w:pPr>
            <w:r>
              <w:t>How</w:t>
            </w:r>
            <w:r w:rsidRPr="00A56950">
              <w:t xml:space="preserve"> to consider different SCS between scheduling cell and scheduled cell for cross-carrier BWP switching delay</w:t>
            </w:r>
            <w:r>
              <w:t>:</w:t>
            </w:r>
          </w:p>
          <w:p w14:paraId="71B9F34D" w14:textId="77777777" w:rsidR="005E1005" w:rsidRDefault="005E1005" w:rsidP="005E1005">
            <w:pPr>
              <w:pStyle w:val="ListParagraph"/>
              <w:numPr>
                <w:ilvl w:val="3"/>
                <w:numId w:val="11"/>
              </w:numPr>
              <w:spacing w:before="0" w:after="0"/>
              <w:contextualSpacing w:val="0"/>
            </w:pPr>
            <w:r>
              <w:t>Option 1: the delay requirements to be defined considering the SCS of scheduled cell</w:t>
            </w:r>
          </w:p>
          <w:p w14:paraId="05B7B9CD" w14:textId="77777777" w:rsidR="005E1005" w:rsidRPr="00A56950" w:rsidRDefault="005E1005" w:rsidP="005E1005">
            <w:pPr>
              <w:pStyle w:val="ListParagraph"/>
              <w:numPr>
                <w:ilvl w:val="3"/>
                <w:numId w:val="11"/>
              </w:numPr>
              <w:spacing w:before="0"/>
              <w:contextualSpacing w:val="0"/>
            </w:pPr>
            <w:r>
              <w:t>Option 2:</w:t>
            </w:r>
            <w:r w:rsidRPr="00F108DF">
              <w:t xml:space="preserve"> keep current assumption which says “</w:t>
            </w:r>
            <w:proofErr w:type="spellStart"/>
            <w:r w:rsidRPr="00F108DF">
              <w:t>T</w:t>
            </w:r>
            <w:r w:rsidRPr="00F108DF">
              <w:rPr>
                <w:vertAlign w:val="subscript"/>
              </w:rPr>
              <w:t>BWPswitchDelay</w:t>
            </w:r>
            <w:proofErr w:type="spellEnd"/>
            <w:r w:rsidRPr="00F108DF">
              <w:t xml:space="preserve"> + Y shall follow the smaller SCS of scheduling cell, scheduled cells before and scheduled cells after active BWP change</w:t>
            </w:r>
            <w:r>
              <w:t>”</w:t>
            </w:r>
          </w:p>
          <w:p w14:paraId="6E5D8A28" w14:textId="6CD52612" w:rsidR="00975FC9" w:rsidRPr="00A93093" w:rsidRDefault="00975FC9" w:rsidP="005E1005">
            <w:pPr>
              <w:pStyle w:val="B1"/>
              <w:rPr>
                <w:rFonts w:eastAsia="Calibri" w:cs="Arial"/>
                <w:sz w:val="12"/>
                <w:szCs w:val="22"/>
              </w:rPr>
            </w:pPr>
          </w:p>
        </w:tc>
      </w:tr>
    </w:tbl>
    <w:p w14:paraId="4B8F5740" w14:textId="77777777" w:rsidR="003D35BD" w:rsidRDefault="001536C0" w:rsidP="00EC4B01">
      <w:pPr>
        <w:rPr>
          <w:rFonts w:ascii="Times-Roman" w:hAnsi="Times-Roman" w:hint="eastAsia"/>
          <w:lang w:val="en-US"/>
        </w:rPr>
      </w:pPr>
      <w:proofErr w:type="gramStart"/>
      <w:r>
        <w:rPr>
          <w:rFonts w:ascii="Times-Roman" w:hAnsi="Times-Roman"/>
          <w:lang w:val="en-US"/>
        </w:rPr>
        <w:t xml:space="preserve">In order </w:t>
      </w:r>
      <w:r w:rsidR="00B76BB3">
        <w:rPr>
          <w:rFonts w:ascii="Times-Roman" w:hAnsi="Times-Roman"/>
          <w:lang w:val="en-US"/>
        </w:rPr>
        <w:t>to</w:t>
      </w:r>
      <w:proofErr w:type="gramEnd"/>
      <w:r w:rsidR="00B76BB3">
        <w:rPr>
          <w:rFonts w:ascii="Times-Roman" w:hAnsi="Times-Roman"/>
          <w:lang w:val="en-US"/>
        </w:rPr>
        <w:t xml:space="preserve"> </w:t>
      </w:r>
      <w:r w:rsidR="00762138">
        <w:rPr>
          <w:rFonts w:ascii="Times-Roman" w:hAnsi="Times-Roman"/>
          <w:lang w:val="en-US"/>
        </w:rPr>
        <w:t>take into account full MRTD length</w:t>
      </w:r>
      <w:r w:rsidR="002A7125">
        <w:rPr>
          <w:rFonts w:ascii="Times-Roman" w:hAnsi="Times-Roman"/>
          <w:lang w:val="en-US"/>
        </w:rPr>
        <w:t>,</w:t>
      </w:r>
      <w:r w:rsidR="00762138">
        <w:rPr>
          <w:rFonts w:ascii="Times-Roman" w:hAnsi="Times-Roman"/>
          <w:lang w:val="en-US"/>
        </w:rPr>
        <w:t xml:space="preserve"> </w:t>
      </w:r>
      <w:r w:rsidR="007B31DF">
        <w:rPr>
          <w:rFonts w:ascii="Times-Roman" w:hAnsi="Times-Roman"/>
          <w:lang w:val="en-US"/>
        </w:rPr>
        <w:t xml:space="preserve">cross-carrier </w:t>
      </w:r>
      <w:r w:rsidR="00A934C3">
        <w:rPr>
          <w:rFonts w:ascii="Times-Roman" w:hAnsi="Times-Roman"/>
          <w:lang w:val="en-US"/>
        </w:rPr>
        <w:t>BWP</w:t>
      </w:r>
      <w:r w:rsidR="007B31DF">
        <w:rPr>
          <w:rFonts w:ascii="Times-Roman" w:hAnsi="Times-Roman"/>
          <w:lang w:val="en-US"/>
        </w:rPr>
        <w:t xml:space="preserve"> </w:t>
      </w:r>
      <w:r w:rsidR="00A934C3">
        <w:rPr>
          <w:rFonts w:ascii="Times-Roman" w:hAnsi="Times-Roman"/>
          <w:lang w:val="en-US"/>
        </w:rPr>
        <w:t xml:space="preserve">switching delay need to be extended by </w:t>
      </w:r>
    </w:p>
    <w:p w14:paraId="54E9555D" w14:textId="77777777" w:rsidR="003D35BD" w:rsidRDefault="003D35BD" w:rsidP="00EC4B01">
      <w:pPr>
        <w:rPr>
          <w:rFonts w:ascii="Times-Roman" w:hAnsi="Times-Roman" w:hint="eastAsia"/>
          <w:lang w:val="en-US"/>
        </w:rPr>
      </w:pPr>
      <w:r w:rsidRPr="003D35BD">
        <w:rPr>
          <w:rFonts w:ascii="Times-Roman" w:hAnsi="Times-Roman"/>
          <w:i/>
          <w:iCs/>
          <w:lang w:val="en-US"/>
        </w:rPr>
        <w:t>Y</w:t>
      </w:r>
      <w:r>
        <w:rPr>
          <w:rFonts w:ascii="Times-Roman" w:hAnsi="Times-Roman"/>
          <w:lang w:val="en-US"/>
        </w:rPr>
        <w:t xml:space="preserve"> = </w:t>
      </w:r>
      <w:r w:rsidR="00983794">
        <w:rPr>
          <w:rFonts w:ascii="Cambria Math" w:hAnsi="Cambria Math" w:cs="Cambria Math"/>
          <w:color w:val="4D5156"/>
          <w:sz w:val="21"/>
          <w:szCs w:val="21"/>
          <w:shd w:val="clear" w:color="auto" w:fill="FFFFFF"/>
        </w:rPr>
        <w:t>⌈</w:t>
      </w:r>
      <w:r w:rsidR="007B31DF" w:rsidRPr="002A7125">
        <w:rPr>
          <w:rFonts w:ascii="Times-Roman" w:hAnsi="Times-Roman"/>
          <w:i/>
          <w:iCs/>
          <w:lang w:val="en-US"/>
        </w:rPr>
        <w:t>MRTD/</w:t>
      </w:r>
      <w:proofErr w:type="spellStart"/>
      <w:r w:rsidR="00AA0A3B" w:rsidRPr="002A7125">
        <w:rPr>
          <w:rFonts w:ascii="Times-Roman" w:hAnsi="Times-Roman"/>
          <w:i/>
          <w:iCs/>
          <w:lang w:val="en-US"/>
        </w:rPr>
        <w:t>T</w:t>
      </w:r>
      <w:r w:rsidR="00AA0A3B" w:rsidRPr="002A7125">
        <w:rPr>
          <w:rFonts w:ascii="Times-Roman" w:hAnsi="Times-Roman"/>
          <w:i/>
          <w:iCs/>
          <w:vertAlign w:val="subscript"/>
          <w:lang w:val="en-US"/>
        </w:rPr>
        <w:t>slot</w:t>
      </w:r>
      <w:proofErr w:type="spellEnd"/>
      <w:r w:rsidR="00983794">
        <w:rPr>
          <w:rFonts w:ascii="Cambria Math" w:hAnsi="Cambria Math" w:cs="Cambria Math"/>
          <w:color w:val="4D5156"/>
          <w:sz w:val="21"/>
          <w:szCs w:val="21"/>
          <w:shd w:val="clear" w:color="auto" w:fill="FFFFFF"/>
        </w:rPr>
        <w:t>⌉</w:t>
      </w:r>
      <w:r w:rsidR="00AA0A3B" w:rsidRPr="00983794">
        <w:rPr>
          <w:rFonts w:ascii="Times-Roman" w:hAnsi="Times-Roman"/>
          <w:lang w:val="en-US"/>
        </w:rPr>
        <w:t xml:space="preserve"> </w:t>
      </w:r>
    </w:p>
    <w:p w14:paraId="0E78B546" w14:textId="484673B9" w:rsidR="0012690B" w:rsidRDefault="00AA0A3B" w:rsidP="00EC4B01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>slots</w:t>
      </w:r>
      <w:r w:rsidR="002A7125">
        <w:rPr>
          <w:rFonts w:ascii="Times-Roman" w:hAnsi="Times-Roman"/>
          <w:lang w:val="en-US"/>
        </w:rPr>
        <w:t>.</w:t>
      </w:r>
      <w:r w:rsidR="00A25E0A">
        <w:rPr>
          <w:rFonts w:ascii="Times-Roman" w:hAnsi="Times-Roman"/>
          <w:lang w:val="en-US"/>
        </w:rPr>
        <w:t xml:space="preserve"> </w:t>
      </w:r>
      <w:r w:rsidR="002C5D13">
        <w:rPr>
          <w:rFonts w:ascii="Times-Roman" w:hAnsi="Times-Roman"/>
          <w:lang w:val="en-US"/>
        </w:rPr>
        <w:t>Following the existing procedure</w:t>
      </w:r>
      <w:r w:rsidR="001D1DE6">
        <w:rPr>
          <w:rFonts w:ascii="Times-Roman" w:hAnsi="Times-Roman"/>
          <w:lang w:val="en-US"/>
        </w:rPr>
        <w:t>,</w:t>
      </w:r>
      <w:r w:rsidR="00C760A4">
        <w:rPr>
          <w:rFonts w:ascii="Times-Roman" w:hAnsi="Times-Roman"/>
          <w:lang w:val="en-US"/>
        </w:rPr>
        <w:t xml:space="preserve"> </w:t>
      </w:r>
      <w:r w:rsidR="002B31E0" w:rsidRPr="007179E5">
        <w:rPr>
          <w:rFonts w:ascii="Times-Roman" w:hAnsi="Times-Roman"/>
          <w:i/>
          <w:iCs/>
          <w:lang w:val="en-US"/>
        </w:rPr>
        <w:t>Y</w:t>
      </w:r>
      <w:r w:rsidR="00C760A4">
        <w:rPr>
          <w:rFonts w:ascii="Times-Roman" w:hAnsi="Times-Roman"/>
          <w:lang w:val="en-US"/>
        </w:rPr>
        <w:t xml:space="preserve"> should </w:t>
      </w:r>
      <w:r w:rsidR="0050335F">
        <w:rPr>
          <w:rFonts w:ascii="Times-Roman" w:hAnsi="Times-Roman"/>
          <w:lang w:val="en-US"/>
        </w:rPr>
        <w:t xml:space="preserve">be defined based on </w:t>
      </w:r>
      <w:r w:rsidR="007179E5">
        <w:rPr>
          <w:rFonts w:ascii="Times-Roman" w:hAnsi="Times-Roman"/>
          <w:lang w:val="en-US"/>
        </w:rPr>
        <w:t>the</w:t>
      </w:r>
      <w:r w:rsidR="00D8716A">
        <w:rPr>
          <w:rFonts w:ascii="Times-Roman" w:hAnsi="Times-Roman"/>
          <w:lang w:val="en-US"/>
        </w:rPr>
        <w:t xml:space="preserve"> </w:t>
      </w:r>
      <w:r w:rsidR="00A952B7">
        <w:rPr>
          <w:rFonts w:ascii="Times-Roman" w:hAnsi="Times-Roman"/>
          <w:lang w:val="en-US"/>
        </w:rPr>
        <w:t>smaller SCS among all the involved numerologies</w:t>
      </w:r>
      <w:r w:rsidR="00D8716A">
        <w:rPr>
          <w:rFonts w:ascii="Times-Roman" w:hAnsi="Times-Roman"/>
          <w:lang w:val="en-US"/>
        </w:rPr>
        <w:t xml:space="preserve">. </w:t>
      </w:r>
      <w:r w:rsidR="00C42DEC">
        <w:rPr>
          <w:rFonts w:ascii="Times-Roman" w:hAnsi="Times-Roman"/>
          <w:lang w:val="en-US"/>
        </w:rPr>
        <w:t xml:space="preserve">Let’s consider </w:t>
      </w:r>
      <w:r w:rsidR="00325214">
        <w:rPr>
          <w:rFonts w:ascii="Times-Roman" w:hAnsi="Times-Roman"/>
          <w:lang w:val="en-US"/>
        </w:rPr>
        <w:t>possible scenarios for Y value</w:t>
      </w:r>
    </w:p>
    <w:p w14:paraId="08B6766E" w14:textId="04CFE693" w:rsidR="00325214" w:rsidRDefault="00325214" w:rsidP="006C2A68">
      <w:pPr>
        <w:pStyle w:val="ListParagraph"/>
        <w:numPr>
          <w:ilvl w:val="0"/>
          <w:numId w:val="12"/>
        </w:numPr>
        <w:rPr>
          <w:rFonts w:ascii="Times-Roman" w:hAnsi="Times-Roman" w:hint="eastAsia"/>
          <w:i/>
          <w:iCs/>
          <w:lang w:val="en-US"/>
        </w:rPr>
      </w:pPr>
      <w:r w:rsidRPr="006C2A68">
        <w:rPr>
          <w:rFonts w:ascii="Times-Roman" w:hAnsi="Times-Roman"/>
          <w:i/>
          <w:iCs/>
          <w:lang w:val="en-US"/>
        </w:rPr>
        <w:t>FR2-2 + FR2-2.</w:t>
      </w:r>
    </w:p>
    <w:p w14:paraId="36CD3972" w14:textId="7F0D87AC" w:rsidR="006C2A68" w:rsidRDefault="006C2A68" w:rsidP="006C2A68">
      <w:pPr>
        <w:pStyle w:val="ListParagraph"/>
        <w:rPr>
          <w:rFonts w:ascii="Times-Roman" w:hAnsi="Times-Roman" w:hint="eastAsia"/>
          <w:lang w:val="en-US"/>
        </w:rPr>
      </w:pPr>
      <w:r w:rsidRPr="006C2A68">
        <w:rPr>
          <w:rFonts w:ascii="Times-Roman" w:hAnsi="Times-Roman" w:hint="eastAsia"/>
          <w:lang w:val="en-US"/>
        </w:rPr>
        <w:t>I</w:t>
      </w:r>
      <w:r w:rsidRPr="006C2A68">
        <w:rPr>
          <w:rFonts w:ascii="Times-Roman" w:hAnsi="Times-Roman"/>
          <w:lang w:val="en-US"/>
        </w:rPr>
        <w:t xml:space="preserve">n this scenario </w:t>
      </w:r>
      <w:r w:rsidR="00417711">
        <w:rPr>
          <w:rFonts w:ascii="Times-Roman" w:hAnsi="Times-Roman"/>
          <w:lang w:val="en-US"/>
        </w:rPr>
        <w:t>the MRTD value is expected to be 0.26us</w:t>
      </w:r>
      <w:r w:rsidR="00DF444C">
        <w:rPr>
          <w:rFonts w:ascii="Times-Roman" w:hAnsi="Times-Roman"/>
          <w:lang w:val="en-US"/>
        </w:rPr>
        <w:t xml:space="preserve">. This value </w:t>
      </w:r>
      <w:r w:rsidR="0037062F">
        <w:rPr>
          <w:rFonts w:ascii="Times-Roman" w:hAnsi="Times-Roman"/>
          <w:lang w:val="en-US"/>
        </w:rPr>
        <w:t xml:space="preserve">is much smaller than </w:t>
      </w:r>
      <w:r w:rsidR="00DA111F">
        <w:rPr>
          <w:rFonts w:ascii="Times-Roman" w:hAnsi="Times-Roman"/>
          <w:lang w:val="en-US"/>
        </w:rPr>
        <w:t>the slot length of any numerology</w:t>
      </w:r>
      <w:r w:rsidR="00984FA3">
        <w:rPr>
          <w:rFonts w:ascii="Times-Roman" w:hAnsi="Times-Roman"/>
          <w:lang w:val="en-US"/>
        </w:rPr>
        <w:t xml:space="preserve"> (MRTD &lt; </w:t>
      </w:r>
      <w:proofErr w:type="spellStart"/>
      <w:r w:rsidR="00984FA3">
        <w:rPr>
          <w:rFonts w:ascii="Times-Roman" w:hAnsi="Times-Roman"/>
          <w:lang w:val="en-US"/>
        </w:rPr>
        <w:t>T</w:t>
      </w:r>
      <w:r w:rsidR="00984FA3" w:rsidRPr="00984FA3">
        <w:rPr>
          <w:rFonts w:ascii="Times-Roman" w:hAnsi="Times-Roman"/>
          <w:vertAlign w:val="subscript"/>
          <w:lang w:val="en-US"/>
        </w:rPr>
        <w:t>slot</w:t>
      </w:r>
      <w:proofErr w:type="spellEnd"/>
      <w:r w:rsidR="00984FA3">
        <w:rPr>
          <w:rFonts w:ascii="Times-Roman" w:hAnsi="Times-Roman"/>
          <w:lang w:val="en-US"/>
        </w:rPr>
        <w:t>)</w:t>
      </w:r>
      <w:r w:rsidR="00BF7CD2">
        <w:rPr>
          <w:rFonts w:ascii="Times-Roman" w:hAnsi="Times-Roman"/>
          <w:lang w:val="en-US"/>
        </w:rPr>
        <w:t xml:space="preserve">, so value Y will </w:t>
      </w:r>
      <w:r w:rsidR="00984FA3">
        <w:rPr>
          <w:rFonts w:ascii="Times-Roman" w:hAnsi="Times-Roman"/>
          <w:lang w:val="en-US"/>
        </w:rPr>
        <w:t>always be equal to 1</w:t>
      </w:r>
    </w:p>
    <w:p w14:paraId="451ACFE3" w14:textId="77777777" w:rsidR="00000E87" w:rsidRPr="006C2A68" w:rsidRDefault="00000E87" w:rsidP="006C2A68">
      <w:pPr>
        <w:pStyle w:val="ListParagraph"/>
        <w:rPr>
          <w:rFonts w:ascii="Times-Roman" w:hAnsi="Times-Roman" w:hint="eastAsia"/>
          <w:lang w:val="en-US"/>
        </w:rPr>
      </w:pPr>
    </w:p>
    <w:p w14:paraId="0C268630" w14:textId="77777777" w:rsidR="00B5267C" w:rsidRDefault="006C2A68" w:rsidP="006C2A68">
      <w:pPr>
        <w:pStyle w:val="ListParagraph"/>
        <w:numPr>
          <w:ilvl w:val="0"/>
          <w:numId w:val="12"/>
        </w:numPr>
        <w:rPr>
          <w:rFonts w:ascii="Times-Roman" w:hAnsi="Times-Roman" w:hint="eastAsia"/>
          <w:i/>
          <w:iCs/>
          <w:lang w:val="en-US"/>
        </w:rPr>
      </w:pPr>
      <w:r>
        <w:rPr>
          <w:rFonts w:ascii="Times-Roman" w:hAnsi="Times-Roman"/>
          <w:i/>
          <w:iCs/>
          <w:lang w:val="en-US"/>
        </w:rPr>
        <w:lastRenderedPageBreak/>
        <w:t>FR1 + FR2-2</w:t>
      </w:r>
    </w:p>
    <w:p w14:paraId="0DAC6531" w14:textId="41981D72" w:rsidR="006C2A68" w:rsidRPr="00B5267C" w:rsidRDefault="00B5267C" w:rsidP="00B5267C">
      <w:pPr>
        <w:pStyle w:val="ListParagraph"/>
        <w:rPr>
          <w:rFonts w:ascii="Times-Roman" w:hAnsi="Times-Roman" w:hint="eastAsia"/>
          <w:lang w:val="en-US"/>
        </w:rPr>
      </w:pPr>
      <w:r w:rsidRPr="00B5267C">
        <w:rPr>
          <w:rFonts w:ascii="Times-Roman" w:hAnsi="Times-Roman"/>
          <w:lang w:val="en-US"/>
        </w:rPr>
        <w:t>For this scenario</w:t>
      </w:r>
      <w:r>
        <w:rPr>
          <w:rFonts w:ascii="Times-Roman" w:hAnsi="Times-Roman"/>
          <w:lang w:val="en-US"/>
        </w:rPr>
        <w:t xml:space="preserve"> the smaller SCS among all involved numerologies </w:t>
      </w:r>
      <w:r w:rsidR="00A10B26">
        <w:rPr>
          <w:rFonts w:ascii="Times-Roman" w:hAnsi="Times-Roman"/>
          <w:lang w:val="en-US"/>
        </w:rPr>
        <w:t xml:space="preserve">will be FR1 SCS. </w:t>
      </w:r>
      <w:r w:rsidR="002456BD">
        <w:rPr>
          <w:rFonts w:ascii="Times-Roman" w:hAnsi="Times-Roman"/>
          <w:lang w:val="en-US"/>
        </w:rPr>
        <w:t xml:space="preserve">The slot length of any FR1 numerology </w:t>
      </w:r>
      <w:r w:rsidR="00B72EE2">
        <w:rPr>
          <w:rFonts w:ascii="Times-Roman" w:hAnsi="Times-Roman"/>
          <w:lang w:val="en-US"/>
        </w:rPr>
        <w:t xml:space="preserve">is larger than any expected </w:t>
      </w:r>
      <w:r w:rsidR="00E0533D">
        <w:rPr>
          <w:rFonts w:ascii="Times-Roman" w:hAnsi="Times-Roman"/>
          <w:lang w:val="en-US"/>
        </w:rPr>
        <w:t xml:space="preserve">FR1 – FR2-2 MRTD (MRTD &lt; </w:t>
      </w:r>
      <w:proofErr w:type="spellStart"/>
      <w:r w:rsidR="00E0533D">
        <w:rPr>
          <w:rFonts w:ascii="Times-Roman" w:hAnsi="Times-Roman"/>
          <w:lang w:val="en-US"/>
        </w:rPr>
        <w:t>T</w:t>
      </w:r>
      <w:r w:rsidR="00E0533D" w:rsidRPr="00E0533D">
        <w:rPr>
          <w:rFonts w:ascii="Times-Roman" w:hAnsi="Times-Roman"/>
          <w:vertAlign w:val="subscript"/>
          <w:lang w:val="en-US"/>
        </w:rPr>
        <w:t>slot</w:t>
      </w:r>
      <w:proofErr w:type="spellEnd"/>
      <w:r w:rsidR="00E0533D">
        <w:rPr>
          <w:rFonts w:ascii="Times-Roman" w:hAnsi="Times-Roman"/>
          <w:lang w:val="en-US"/>
        </w:rPr>
        <w:t xml:space="preserve">), </w:t>
      </w:r>
      <w:r w:rsidR="00583705">
        <w:rPr>
          <w:rFonts w:ascii="Times-Roman" w:hAnsi="Times-Roman"/>
          <w:lang w:val="en-US"/>
        </w:rPr>
        <w:t>so value Y will always be equal to 1.</w:t>
      </w:r>
    </w:p>
    <w:p w14:paraId="2D7BD59A" w14:textId="0584DE11" w:rsidR="00325214" w:rsidRDefault="00621709" w:rsidP="00EC4B01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Based on the </w:t>
      </w:r>
      <w:r w:rsidR="00AF3688">
        <w:rPr>
          <w:rFonts w:ascii="Times-Roman" w:hAnsi="Times-Roman"/>
          <w:lang w:val="en-US"/>
        </w:rPr>
        <w:t>above</w:t>
      </w:r>
      <w:r w:rsidR="002842D3">
        <w:rPr>
          <w:rFonts w:ascii="Times-Roman" w:hAnsi="Times-Roman"/>
          <w:lang w:val="en-US"/>
        </w:rPr>
        <w:t>,</w:t>
      </w:r>
      <w:r w:rsidR="00DB3BBF">
        <w:rPr>
          <w:rFonts w:ascii="Times-Roman" w:hAnsi="Times-Roman"/>
          <w:lang w:val="en-US"/>
        </w:rPr>
        <w:t xml:space="preserve"> </w:t>
      </w:r>
      <w:r w:rsidR="002842D3">
        <w:rPr>
          <w:rFonts w:ascii="Times-Roman" w:hAnsi="Times-Roman"/>
          <w:lang w:val="en-US"/>
        </w:rPr>
        <w:t>Option 1 and Option 2 in</w:t>
      </w:r>
      <w:r w:rsidR="00AF3688">
        <w:rPr>
          <w:rFonts w:ascii="Times-Roman" w:hAnsi="Times-Roman"/>
          <w:lang w:val="en-US"/>
        </w:rPr>
        <w:t xml:space="preserve"> the first question raised in the WF</w:t>
      </w:r>
      <w:r w:rsidR="00C5182B">
        <w:rPr>
          <w:rFonts w:ascii="Times-Roman" w:hAnsi="Times-Roman"/>
          <w:lang w:val="en-US"/>
        </w:rPr>
        <w:t xml:space="preserve"> lead to the same result</w:t>
      </w:r>
      <w:r w:rsidR="008C4D7C">
        <w:rPr>
          <w:rFonts w:ascii="Times-Roman" w:hAnsi="Times-Roman"/>
          <w:lang w:val="en-US"/>
        </w:rPr>
        <w:t xml:space="preserve"> – 1 slot is enough to account MRTD</w:t>
      </w:r>
      <w:r w:rsidR="008C4D7C" w:rsidRPr="008C4D7C">
        <w:t xml:space="preserve"> </w:t>
      </w:r>
      <w:r w:rsidR="008C4D7C" w:rsidRPr="00A56950">
        <w:t>in cross-carrier BWP switching delay</w:t>
      </w:r>
    </w:p>
    <w:p w14:paraId="76C19231" w14:textId="77184D1E" w:rsidR="00DA116D" w:rsidRPr="00427AB5" w:rsidRDefault="00DA116D" w:rsidP="00EC4B01">
      <w:pPr>
        <w:rPr>
          <w:rFonts w:ascii="Times-Roman" w:hAnsi="Times-Roman" w:hint="eastAsia"/>
          <w:b/>
          <w:bCs/>
          <w:lang w:val="en-US"/>
        </w:rPr>
      </w:pPr>
      <w:r w:rsidRPr="00427AB5">
        <w:rPr>
          <w:rFonts w:ascii="Times-Roman" w:hAnsi="Times-Roman"/>
          <w:b/>
          <w:bCs/>
          <w:lang w:val="en-US"/>
        </w:rPr>
        <w:t xml:space="preserve">Observation 1: </w:t>
      </w:r>
      <w:r w:rsidR="00973043" w:rsidRPr="00427AB5">
        <w:rPr>
          <w:rFonts w:ascii="Times-Roman" w:hAnsi="Times-Roman"/>
          <w:b/>
          <w:bCs/>
          <w:lang w:val="en-US"/>
        </w:rPr>
        <w:t>O</w:t>
      </w:r>
      <w:r w:rsidRPr="00427AB5">
        <w:rPr>
          <w:rFonts w:ascii="Times-Roman" w:hAnsi="Times-Roman"/>
          <w:b/>
          <w:bCs/>
          <w:lang w:val="en-US"/>
        </w:rPr>
        <w:t xml:space="preserve">ne slot </w:t>
      </w:r>
      <w:r w:rsidR="00E67458" w:rsidRPr="00427AB5">
        <w:rPr>
          <w:rFonts w:ascii="Times-Roman" w:hAnsi="Times-Roman"/>
          <w:b/>
          <w:bCs/>
          <w:lang w:val="en-US"/>
        </w:rPr>
        <w:t xml:space="preserve">of the smaller SCS among all the involved numerologies </w:t>
      </w:r>
      <w:r w:rsidRPr="00427AB5">
        <w:rPr>
          <w:rFonts w:ascii="Times-Roman" w:hAnsi="Times-Roman"/>
          <w:b/>
          <w:bCs/>
          <w:lang w:val="en-US"/>
        </w:rPr>
        <w:t xml:space="preserve">is enough to </w:t>
      </w:r>
      <w:r w:rsidR="00E67458" w:rsidRPr="00427AB5">
        <w:rPr>
          <w:rFonts w:ascii="Times-Roman" w:hAnsi="Times-Roman"/>
          <w:b/>
          <w:bCs/>
          <w:lang w:val="en-US"/>
        </w:rPr>
        <w:t xml:space="preserve">cover MRTD </w:t>
      </w:r>
      <w:r w:rsidR="00542569" w:rsidRPr="00427AB5">
        <w:rPr>
          <w:rFonts w:ascii="Times-Roman" w:hAnsi="Times-Roman"/>
          <w:b/>
          <w:bCs/>
          <w:lang w:val="en-US"/>
        </w:rPr>
        <w:t>for all considered scenarios</w:t>
      </w:r>
      <w:r w:rsidR="00333492">
        <w:rPr>
          <w:rFonts w:ascii="Times-Roman" w:hAnsi="Times-Roman"/>
          <w:b/>
          <w:bCs/>
          <w:lang w:val="en-US"/>
        </w:rPr>
        <w:t>.</w:t>
      </w:r>
    </w:p>
    <w:p w14:paraId="47D600B3" w14:textId="5F661A8C" w:rsidR="009F4BB8" w:rsidRDefault="00FB38AD" w:rsidP="00EC4B01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>As for the second question</w:t>
      </w:r>
      <w:r w:rsidR="008B3D29">
        <w:rPr>
          <w:rFonts w:ascii="Times-Roman" w:hAnsi="Times-Roman"/>
          <w:lang w:val="en-US"/>
        </w:rPr>
        <w:t xml:space="preserve">, we think that 1 slot from Observation 1 </w:t>
      </w:r>
      <w:r w:rsidR="006E0B05">
        <w:rPr>
          <w:rFonts w:ascii="Times-Roman" w:hAnsi="Times-Roman"/>
          <w:lang w:val="en-US"/>
        </w:rPr>
        <w:t xml:space="preserve">can also cover </w:t>
      </w:r>
      <w:r w:rsidR="00916A52">
        <w:rPr>
          <w:rFonts w:ascii="Times-Roman" w:hAnsi="Times-Roman"/>
          <w:lang w:val="en-US"/>
        </w:rPr>
        <w:t xml:space="preserve">the </w:t>
      </w:r>
      <w:r w:rsidR="00916A52" w:rsidRPr="00A56950">
        <w:t>margin for cross-carrier scheduling</w:t>
      </w:r>
      <w:r w:rsidR="003A6F79">
        <w:t xml:space="preserve">. In both </w:t>
      </w:r>
      <w:r w:rsidR="009F4BB8">
        <w:rPr>
          <w:rFonts w:ascii="Times-Roman" w:hAnsi="Times-Roman"/>
          <w:lang w:val="en-US"/>
        </w:rPr>
        <w:t>FR2-2</w:t>
      </w:r>
      <w:r w:rsidR="003A6F79">
        <w:rPr>
          <w:rFonts w:ascii="Times-Roman" w:hAnsi="Times-Roman"/>
          <w:lang w:val="en-US"/>
        </w:rPr>
        <w:t>+</w:t>
      </w:r>
      <w:r w:rsidR="009466CD">
        <w:rPr>
          <w:rFonts w:ascii="Times-Roman" w:hAnsi="Times-Roman"/>
          <w:lang w:val="en-US"/>
        </w:rPr>
        <w:t xml:space="preserve">FR2-2 </w:t>
      </w:r>
      <w:r w:rsidR="003A6F79">
        <w:rPr>
          <w:rFonts w:ascii="Times-Roman" w:hAnsi="Times-Roman"/>
          <w:lang w:val="en-US"/>
        </w:rPr>
        <w:t>and FR</w:t>
      </w:r>
      <w:r w:rsidR="00CA2DB3">
        <w:rPr>
          <w:rFonts w:ascii="Times-Roman" w:hAnsi="Times-Roman"/>
          <w:lang w:val="en-US"/>
        </w:rPr>
        <w:t xml:space="preserve">1+FR2-2 </w:t>
      </w:r>
      <w:r w:rsidR="009466CD">
        <w:rPr>
          <w:rFonts w:ascii="Times-Roman" w:hAnsi="Times-Roman"/>
          <w:lang w:val="en-US"/>
        </w:rPr>
        <w:t>MRTD is very short comparing to th</w:t>
      </w:r>
      <w:r w:rsidR="00CA2DB3">
        <w:rPr>
          <w:rFonts w:ascii="Times-Roman" w:hAnsi="Times-Roman"/>
          <w:lang w:val="en-US"/>
        </w:rPr>
        <w:t>at</w:t>
      </w:r>
      <w:r w:rsidR="009466CD">
        <w:rPr>
          <w:rFonts w:ascii="Times-Roman" w:hAnsi="Times-Roman"/>
          <w:lang w:val="en-US"/>
        </w:rPr>
        <w:t xml:space="preserve"> slot length, so </w:t>
      </w:r>
      <w:r w:rsidR="001C041B">
        <w:rPr>
          <w:rFonts w:ascii="Times-Roman" w:hAnsi="Times-Roman"/>
          <w:lang w:val="en-US"/>
        </w:rPr>
        <w:t xml:space="preserve">almost </w:t>
      </w:r>
      <w:r w:rsidR="00427AB5">
        <w:rPr>
          <w:rFonts w:ascii="Times-Roman" w:hAnsi="Times-Roman"/>
          <w:lang w:val="en-US"/>
        </w:rPr>
        <w:t>the whole slot from Observation 1</w:t>
      </w:r>
      <w:r w:rsidR="001C041B">
        <w:rPr>
          <w:rFonts w:ascii="Times-Roman" w:hAnsi="Times-Roman"/>
          <w:lang w:val="en-US"/>
        </w:rPr>
        <w:t xml:space="preserve"> can be used for cross-carrier processing.</w:t>
      </w:r>
    </w:p>
    <w:p w14:paraId="375016CF" w14:textId="387E16EE" w:rsidR="007F2999" w:rsidRPr="00B76C9F" w:rsidRDefault="007F2999" w:rsidP="00EC4B01">
      <w:pPr>
        <w:rPr>
          <w:rFonts w:ascii="Times-Roman" w:hAnsi="Times-Roman" w:hint="eastAsia"/>
          <w:b/>
          <w:bCs/>
          <w:lang w:val="en-US"/>
        </w:rPr>
      </w:pPr>
      <w:r w:rsidRPr="00B76C9F">
        <w:rPr>
          <w:rFonts w:ascii="Times-Roman" w:hAnsi="Times-Roman"/>
          <w:b/>
          <w:bCs/>
          <w:lang w:val="en-US"/>
        </w:rPr>
        <w:t xml:space="preserve">Observation 2: One slot </w:t>
      </w:r>
      <w:r w:rsidR="008E4EE8" w:rsidRPr="00B76C9F">
        <w:rPr>
          <w:rFonts w:ascii="Times-Roman" w:hAnsi="Times-Roman"/>
          <w:b/>
          <w:bCs/>
          <w:lang w:val="en-US"/>
        </w:rPr>
        <w:t xml:space="preserve">mentioned in Observation 1 </w:t>
      </w:r>
      <w:r w:rsidR="000341F1" w:rsidRPr="00B76C9F">
        <w:rPr>
          <w:rFonts w:ascii="Times-Roman" w:hAnsi="Times-Roman"/>
          <w:b/>
          <w:bCs/>
          <w:lang w:val="en-US"/>
        </w:rPr>
        <w:t>is enough to</w:t>
      </w:r>
      <w:r w:rsidR="00074D5F">
        <w:rPr>
          <w:rFonts w:ascii="Times-Roman" w:hAnsi="Times-Roman"/>
          <w:b/>
          <w:bCs/>
          <w:lang w:val="en-US"/>
        </w:rPr>
        <w:t xml:space="preserve"> also</w:t>
      </w:r>
      <w:r w:rsidR="000341F1" w:rsidRPr="00B76C9F">
        <w:rPr>
          <w:rFonts w:ascii="Times-Roman" w:hAnsi="Times-Roman"/>
          <w:b/>
          <w:bCs/>
          <w:lang w:val="en-US"/>
        </w:rPr>
        <w:t xml:space="preserve"> </w:t>
      </w:r>
      <w:r w:rsidR="008E4EE8" w:rsidRPr="00B76C9F">
        <w:rPr>
          <w:rFonts w:ascii="Times-Roman" w:hAnsi="Times-Roman"/>
          <w:b/>
          <w:bCs/>
          <w:lang w:val="en-US"/>
        </w:rPr>
        <w:t xml:space="preserve">cover </w:t>
      </w:r>
      <w:r w:rsidR="000341F1" w:rsidRPr="00B76C9F">
        <w:rPr>
          <w:rFonts w:ascii="Times-Roman" w:hAnsi="Times-Roman"/>
          <w:b/>
          <w:bCs/>
          <w:lang w:val="en-US"/>
        </w:rPr>
        <w:t xml:space="preserve">the margin for </w:t>
      </w:r>
      <w:r w:rsidR="000F6B57" w:rsidRPr="00B76C9F">
        <w:rPr>
          <w:rFonts w:ascii="Times-Roman" w:hAnsi="Times-Roman"/>
          <w:b/>
          <w:bCs/>
          <w:lang w:val="en-US"/>
        </w:rPr>
        <w:t>cross-carrier processing</w:t>
      </w:r>
    </w:p>
    <w:p w14:paraId="2B1EAA5E" w14:textId="06473299" w:rsidR="00666192" w:rsidRDefault="00344E1A" w:rsidP="00EC4B01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>Current specification already considers o</w:t>
      </w:r>
      <w:r w:rsidR="00CC2406">
        <w:rPr>
          <w:rFonts w:ascii="Times-Roman" w:hAnsi="Times-Roman"/>
          <w:lang w:val="en-US"/>
        </w:rPr>
        <w:t>ne</w:t>
      </w:r>
      <w:r w:rsidR="007D596E">
        <w:rPr>
          <w:rFonts w:ascii="Times-Roman" w:hAnsi="Times-Roman"/>
          <w:lang w:val="en-US"/>
        </w:rPr>
        <w:t xml:space="preserve"> extra slot</w:t>
      </w:r>
      <w:r w:rsidR="00CC2406">
        <w:rPr>
          <w:rFonts w:ascii="Times-Roman" w:hAnsi="Times-Roman"/>
          <w:lang w:val="en-US"/>
        </w:rPr>
        <w:t xml:space="preserve"> of the </w:t>
      </w:r>
      <w:r w:rsidR="00CC2406" w:rsidRPr="00CC2406">
        <w:rPr>
          <w:rFonts w:ascii="Times-Roman" w:hAnsi="Times-Roman"/>
          <w:lang w:val="en-US"/>
        </w:rPr>
        <w:t>smaller SCS among all the involved numerologies</w:t>
      </w:r>
      <w:r w:rsidR="007D596E">
        <w:rPr>
          <w:rFonts w:ascii="Times-Roman" w:hAnsi="Times-Roman"/>
          <w:lang w:val="en-US"/>
        </w:rPr>
        <w:t xml:space="preserve"> for the case of cross-carrier scheduling</w:t>
      </w:r>
      <w:r>
        <w:rPr>
          <w:rFonts w:ascii="Times-Roman" w:hAnsi="Times-Roman"/>
          <w:lang w:val="en-US"/>
        </w:rPr>
        <w:t xml:space="preserve">, so no </w:t>
      </w:r>
      <w:r w:rsidR="00E15971">
        <w:rPr>
          <w:rFonts w:ascii="Times-Roman" w:hAnsi="Times-Roman"/>
          <w:lang w:val="en-US"/>
        </w:rPr>
        <w:t>changes are needed for FR2-2.</w:t>
      </w:r>
    </w:p>
    <w:p w14:paraId="63409FFF" w14:textId="7D81C702" w:rsidR="00F84635" w:rsidRPr="00CD0312" w:rsidRDefault="00CC4D30" w:rsidP="00905604">
      <w:pPr>
        <w:rPr>
          <w:b/>
          <w:bCs/>
          <w:i/>
          <w:iCs/>
          <w:lang w:eastAsia="ja-JP" w:bidi="hi-IN"/>
        </w:rPr>
      </w:pPr>
      <w:r w:rsidRPr="00EC4B01">
        <w:rPr>
          <w:rFonts w:ascii="Times-Roman" w:hAnsi="Times-Roman"/>
          <w:b/>
          <w:bCs/>
          <w:lang w:val="en-US"/>
        </w:rPr>
        <w:t xml:space="preserve">Proposal 1: </w:t>
      </w:r>
      <w:r w:rsidR="00E15971">
        <w:rPr>
          <w:rFonts w:ascii="Times-Roman" w:hAnsi="Times-Roman"/>
          <w:b/>
          <w:bCs/>
          <w:lang w:val="en-US"/>
        </w:rPr>
        <w:t xml:space="preserve">Rel15/16 requirements for </w:t>
      </w:r>
      <w:r w:rsidR="00C75247" w:rsidRPr="00C75247">
        <w:rPr>
          <w:rFonts w:ascii="Times-Roman" w:hAnsi="Times-Roman"/>
          <w:b/>
          <w:bCs/>
          <w:lang w:val="en-US"/>
        </w:rPr>
        <w:t>cross-carrier active BWP switching delay</w:t>
      </w:r>
      <w:r w:rsidR="00C75247">
        <w:rPr>
          <w:rFonts w:ascii="Times-Roman" w:hAnsi="Times-Roman"/>
          <w:b/>
          <w:bCs/>
          <w:lang w:val="en-US"/>
        </w:rPr>
        <w:t xml:space="preserve"> can be reused </w:t>
      </w:r>
      <w:r w:rsidR="00CD0312">
        <w:rPr>
          <w:rFonts w:ascii="Times-Roman" w:hAnsi="Times-Roman"/>
          <w:b/>
          <w:bCs/>
          <w:lang w:val="en-US"/>
        </w:rPr>
        <w:t>for FR2-2</w:t>
      </w:r>
    </w:p>
    <w:p w14:paraId="588A1A31" w14:textId="77777777" w:rsidR="00F84635" w:rsidRPr="007B00CA" w:rsidRDefault="00F84635" w:rsidP="00905604">
      <w:pPr>
        <w:rPr>
          <w:b/>
          <w:bCs/>
          <w:lang w:eastAsia="ja-JP" w:bidi="hi-IN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539B79A1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 xml:space="preserve">In this paper we </w:t>
      </w:r>
      <w:r w:rsidR="00F20281">
        <w:t>discuss</w:t>
      </w:r>
      <w:r w:rsidR="00F1009D">
        <w:t>ed</w:t>
      </w:r>
      <w:r w:rsidR="00F20281">
        <w:t xml:space="preserve"> the requirements for cross-carrier </w:t>
      </w:r>
      <w:r w:rsidR="00115F4E">
        <w:t xml:space="preserve">active BWP switching delay for new numerologies defined for </w:t>
      </w:r>
      <w:r w:rsidR="00115F4E" w:rsidRPr="00627A3B">
        <w:t>NR 52.6 – 71 GHz</w:t>
      </w:r>
      <w:r w:rsidR="00115F4E">
        <w:t xml:space="preserve"> operation.</w:t>
      </w:r>
      <w:r w:rsidR="00115F4E" w:rsidRPr="00431B06">
        <w:t xml:space="preserve"> </w:t>
      </w:r>
      <w:r>
        <w:t xml:space="preserve">The following proposals were </w:t>
      </w:r>
      <w:r w:rsidR="00F01182">
        <w:t>made:</w:t>
      </w:r>
    </w:p>
    <w:p w14:paraId="409864FE" w14:textId="77777777" w:rsidR="00CD0312" w:rsidRPr="00427AB5" w:rsidRDefault="00CD0312" w:rsidP="00CD0312">
      <w:pPr>
        <w:rPr>
          <w:rFonts w:ascii="Times-Roman" w:hAnsi="Times-Roman" w:hint="eastAsia"/>
          <w:b/>
          <w:bCs/>
          <w:lang w:val="en-US"/>
        </w:rPr>
      </w:pPr>
      <w:r w:rsidRPr="00427AB5">
        <w:rPr>
          <w:rFonts w:ascii="Times-Roman" w:hAnsi="Times-Roman"/>
          <w:b/>
          <w:bCs/>
          <w:lang w:val="en-US"/>
        </w:rPr>
        <w:t>Observation 1: One slot of the smaller SCS among all the involved numerologies is enough to cover MRTD for all considered scenarios</w:t>
      </w:r>
      <w:r>
        <w:rPr>
          <w:rFonts w:ascii="Times-Roman" w:hAnsi="Times-Roman"/>
          <w:b/>
          <w:bCs/>
          <w:lang w:val="en-US"/>
        </w:rPr>
        <w:t>.</w:t>
      </w:r>
    </w:p>
    <w:p w14:paraId="5DDE31B3" w14:textId="77777777" w:rsidR="00CD0312" w:rsidRPr="00B76C9F" w:rsidRDefault="00CD0312" w:rsidP="00CD0312">
      <w:pPr>
        <w:rPr>
          <w:rFonts w:ascii="Times-Roman" w:hAnsi="Times-Roman" w:hint="eastAsia"/>
          <w:b/>
          <w:bCs/>
          <w:lang w:val="en-US"/>
        </w:rPr>
      </w:pPr>
      <w:r w:rsidRPr="00B76C9F">
        <w:rPr>
          <w:rFonts w:ascii="Times-Roman" w:hAnsi="Times-Roman"/>
          <w:b/>
          <w:bCs/>
          <w:lang w:val="en-US"/>
        </w:rPr>
        <w:t>Observation 2: One slot mentioned in Observation 1 is enough to</w:t>
      </w:r>
      <w:r>
        <w:rPr>
          <w:rFonts w:ascii="Times-Roman" w:hAnsi="Times-Roman"/>
          <w:b/>
          <w:bCs/>
          <w:lang w:val="en-US"/>
        </w:rPr>
        <w:t xml:space="preserve"> also</w:t>
      </w:r>
      <w:r w:rsidRPr="00B76C9F">
        <w:rPr>
          <w:rFonts w:ascii="Times-Roman" w:hAnsi="Times-Roman"/>
          <w:b/>
          <w:bCs/>
          <w:lang w:val="en-US"/>
        </w:rPr>
        <w:t xml:space="preserve"> cover the margin for cross-carrier processing</w:t>
      </w:r>
    </w:p>
    <w:p w14:paraId="2D69F5A7" w14:textId="77777777" w:rsidR="00CD0312" w:rsidRPr="00CD0312" w:rsidRDefault="00CD0312" w:rsidP="00CD0312">
      <w:pPr>
        <w:rPr>
          <w:b/>
          <w:bCs/>
          <w:i/>
          <w:iCs/>
          <w:lang w:eastAsia="ja-JP" w:bidi="hi-IN"/>
        </w:rPr>
      </w:pPr>
      <w:r w:rsidRPr="00EC4B01">
        <w:rPr>
          <w:rFonts w:ascii="Times-Roman" w:hAnsi="Times-Roman"/>
          <w:b/>
          <w:bCs/>
          <w:lang w:val="en-US"/>
        </w:rPr>
        <w:t xml:space="preserve">Proposal 1: </w:t>
      </w:r>
      <w:r>
        <w:rPr>
          <w:rFonts w:ascii="Times-Roman" w:hAnsi="Times-Roman"/>
          <w:b/>
          <w:bCs/>
          <w:lang w:val="en-US"/>
        </w:rPr>
        <w:t xml:space="preserve">Rel15/16 requirements for </w:t>
      </w:r>
      <w:r w:rsidRPr="00C75247">
        <w:rPr>
          <w:rFonts w:ascii="Times-Roman" w:hAnsi="Times-Roman"/>
          <w:b/>
          <w:bCs/>
          <w:lang w:val="en-US"/>
        </w:rPr>
        <w:t>cross-carrier active BWP switching delay</w:t>
      </w:r>
      <w:r>
        <w:rPr>
          <w:rFonts w:ascii="Times-Roman" w:hAnsi="Times-Roman"/>
          <w:b/>
          <w:bCs/>
          <w:lang w:val="en-US"/>
        </w:rPr>
        <w:t xml:space="preserve"> can be reused for FR2-2</w:t>
      </w:r>
    </w:p>
    <w:p w14:paraId="3C1FF089" w14:textId="77777777" w:rsidR="00007C0F" w:rsidRDefault="00007C0F" w:rsidP="00007C0F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6F0AB9C8" w14:textId="6EB2A6D2" w:rsidR="00B912A4" w:rsidRDefault="00CB2A99" w:rsidP="00CB2A99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Pr="006365D3">
        <w:t>2120317</w:t>
      </w:r>
      <w:r>
        <w:t>, “</w:t>
      </w:r>
      <w:r w:rsidRPr="00C16926">
        <w:t>WF on NR extension to 71 GHz RRM requirements (Part 2)</w:t>
      </w:r>
      <w:r>
        <w:t xml:space="preserve">”, </w:t>
      </w:r>
      <w:r w:rsidRPr="00B912A4">
        <w:t>RAN4</w:t>
      </w:r>
      <w:r>
        <w:t xml:space="preserve"> #101-e </w:t>
      </w:r>
      <w:r w:rsidRPr="001323C7">
        <w:t>November 01-12</w:t>
      </w:r>
      <w:r w:rsidRPr="00A9198D">
        <w:t>, 2021</w:t>
      </w:r>
    </w:p>
    <w:sectPr w:rsidR="00B912A4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9F1ABC" w:rsidRDefault="009F1ABC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9F1ABC" w:rsidRDefault="009F1ABC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9F1ABC" w:rsidRDefault="009F1ABC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9F1ABC" w:rsidRDefault="009F1ABC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9F1ABC" w:rsidRPr="00DB1239" w:rsidRDefault="009F1ABC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9F1ABC" w:rsidRDefault="009F1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9F1ABC" w:rsidRDefault="009F1ABC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9F1ABC" w:rsidRDefault="009F1ABC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9F1ABC" w:rsidRDefault="009F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9F1ABC" w:rsidRDefault="009F1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9F1ABC" w:rsidRDefault="009F1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53020"/>
    <w:multiLevelType w:val="hybridMultilevel"/>
    <w:tmpl w:val="F1EC6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0E87"/>
    <w:rsid w:val="00007C0F"/>
    <w:rsid w:val="00025ABE"/>
    <w:rsid w:val="000341F1"/>
    <w:rsid w:val="000406A9"/>
    <w:rsid w:val="00045451"/>
    <w:rsid w:val="00074D5F"/>
    <w:rsid w:val="00074DFE"/>
    <w:rsid w:val="00084065"/>
    <w:rsid w:val="000A50D0"/>
    <w:rsid w:val="000A7FA8"/>
    <w:rsid w:val="000B0BF2"/>
    <w:rsid w:val="000C3C28"/>
    <w:rsid w:val="000C591A"/>
    <w:rsid w:val="000E1A0A"/>
    <w:rsid w:val="000F6B57"/>
    <w:rsid w:val="00115F4E"/>
    <w:rsid w:val="0012690B"/>
    <w:rsid w:val="001536C0"/>
    <w:rsid w:val="0016104F"/>
    <w:rsid w:val="00195B25"/>
    <w:rsid w:val="001A1485"/>
    <w:rsid w:val="001B4A3A"/>
    <w:rsid w:val="001B79B4"/>
    <w:rsid w:val="001C041B"/>
    <w:rsid w:val="001C2D4A"/>
    <w:rsid w:val="001C7338"/>
    <w:rsid w:val="001D1DE6"/>
    <w:rsid w:val="001E08B7"/>
    <w:rsid w:val="00204C52"/>
    <w:rsid w:val="00213455"/>
    <w:rsid w:val="00217D2C"/>
    <w:rsid w:val="002456BD"/>
    <w:rsid w:val="002460DA"/>
    <w:rsid w:val="00250CB6"/>
    <w:rsid w:val="002562C7"/>
    <w:rsid w:val="002610D4"/>
    <w:rsid w:val="0026412A"/>
    <w:rsid w:val="00264652"/>
    <w:rsid w:val="002732EB"/>
    <w:rsid w:val="00276AB5"/>
    <w:rsid w:val="00280090"/>
    <w:rsid w:val="002842D3"/>
    <w:rsid w:val="002A7125"/>
    <w:rsid w:val="002B31E0"/>
    <w:rsid w:val="002C5D13"/>
    <w:rsid w:val="002C774D"/>
    <w:rsid w:val="002E1458"/>
    <w:rsid w:val="002E2C6B"/>
    <w:rsid w:val="00304F73"/>
    <w:rsid w:val="00312EBC"/>
    <w:rsid w:val="00312F3D"/>
    <w:rsid w:val="00313845"/>
    <w:rsid w:val="00325214"/>
    <w:rsid w:val="00330CD2"/>
    <w:rsid w:val="00333492"/>
    <w:rsid w:val="00344E1A"/>
    <w:rsid w:val="00353AE3"/>
    <w:rsid w:val="0035405F"/>
    <w:rsid w:val="003618A5"/>
    <w:rsid w:val="0037062F"/>
    <w:rsid w:val="00386DA3"/>
    <w:rsid w:val="00397650"/>
    <w:rsid w:val="003A6F79"/>
    <w:rsid w:val="003C767B"/>
    <w:rsid w:val="003C781F"/>
    <w:rsid w:val="003D22B2"/>
    <w:rsid w:val="003D35BD"/>
    <w:rsid w:val="003E3FF2"/>
    <w:rsid w:val="003E598B"/>
    <w:rsid w:val="003E5D6A"/>
    <w:rsid w:val="00417711"/>
    <w:rsid w:val="00425DB6"/>
    <w:rsid w:val="00427AB5"/>
    <w:rsid w:val="00431B06"/>
    <w:rsid w:val="00441073"/>
    <w:rsid w:val="00454C73"/>
    <w:rsid w:val="004563D3"/>
    <w:rsid w:val="004604E0"/>
    <w:rsid w:val="00476AF6"/>
    <w:rsid w:val="00490C92"/>
    <w:rsid w:val="004A09B6"/>
    <w:rsid w:val="004A683D"/>
    <w:rsid w:val="004F67F2"/>
    <w:rsid w:val="004F6E19"/>
    <w:rsid w:val="0050335F"/>
    <w:rsid w:val="0050718C"/>
    <w:rsid w:val="00510D0B"/>
    <w:rsid w:val="00523459"/>
    <w:rsid w:val="005367A9"/>
    <w:rsid w:val="00542569"/>
    <w:rsid w:val="005468E3"/>
    <w:rsid w:val="0055219E"/>
    <w:rsid w:val="00553847"/>
    <w:rsid w:val="00583705"/>
    <w:rsid w:val="00595995"/>
    <w:rsid w:val="005B3C5D"/>
    <w:rsid w:val="005D0CD6"/>
    <w:rsid w:val="005D7F3E"/>
    <w:rsid w:val="005E1005"/>
    <w:rsid w:val="006045D2"/>
    <w:rsid w:val="00621709"/>
    <w:rsid w:val="006263E0"/>
    <w:rsid w:val="00627A3B"/>
    <w:rsid w:val="006303F7"/>
    <w:rsid w:val="00634333"/>
    <w:rsid w:val="00666192"/>
    <w:rsid w:val="00666C1E"/>
    <w:rsid w:val="0069055F"/>
    <w:rsid w:val="006A50C4"/>
    <w:rsid w:val="006A5F2D"/>
    <w:rsid w:val="006B0078"/>
    <w:rsid w:val="006C2A68"/>
    <w:rsid w:val="006D23BC"/>
    <w:rsid w:val="006E0B05"/>
    <w:rsid w:val="00701619"/>
    <w:rsid w:val="007179E5"/>
    <w:rsid w:val="00721E81"/>
    <w:rsid w:val="00725BA6"/>
    <w:rsid w:val="0073741D"/>
    <w:rsid w:val="00762138"/>
    <w:rsid w:val="00780A46"/>
    <w:rsid w:val="00781FCA"/>
    <w:rsid w:val="007B00CA"/>
    <w:rsid w:val="007B31DF"/>
    <w:rsid w:val="007D596E"/>
    <w:rsid w:val="007E00C1"/>
    <w:rsid w:val="007E29FE"/>
    <w:rsid w:val="007F2999"/>
    <w:rsid w:val="00804CC8"/>
    <w:rsid w:val="00807081"/>
    <w:rsid w:val="00815F9C"/>
    <w:rsid w:val="00821025"/>
    <w:rsid w:val="00833FDE"/>
    <w:rsid w:val="008579C9"/>
    <w:rsid w:val="00882569"/>
    <w:rsid w:val="00884864"/>
    <w:rsid w:val="008854C3"/>
    <w:rsid w:val="0089734D"/>
    <w:rsid w:val="008A7479"/>
    <w:rsid w:val="008B3D29"/>
    <w:rsid w:val="008B6914"/>
    <w:rsid w:val="008B6CBD"/>
    <w:rsid w:val="008C4D7C"/>
    <w:rsid w:val="008C6931"/>
    <w:rsid w:val="008C737F"/>
    <w:rsid w:val="008E4EE8"/>
    <w:rsid w:val="008E624A"/>
    <w:rsid w:val="008E76A9"/>
    <w:rsid w:val="008F64EB"/>
    <w:rsid w:val="008F78FF"/>
    <w:rsid w:val="00905604"/>
    <w:rsid w:val="0091639F"/>
    <w:rsid w:val="00916A52"/>
    <w:rsid w:val="009436B2"/>
    <w:rsid w:val="009466CD"/>
    <w:rsid w:val="009550C0"/>
    <w:rsid w:val="00955AFF"/>
    <w:rsid w:val="00973043"/>
    <w:rsid w:val="00975FC9"/>
    <w:rsid w:val="00982F1A"/>
    <w:rsid w:val="00983794"/>
    <w:rsid w:val="00984FA3"/>
    <w:rsid w:val="00993E56"/>
    <w:rsid w:val="009B10CD"/>
    <w:rsid w:val="009B3AC5"/>
    <w:rsid w:val="009B6F6B"/>
    <w:rsid w:val="009D6577"/>
    <w:rsid w:val="009F1ABC"/>
    <w:rsid w:val="009F3400"/>
    <w:rsid w:val="009F4BB8"/>
    <w:rsid w:val="00A10B26"/>
    <w:rsid w:val="00A21195"/>
    <w:rsid w:val="00A25E0A"/>
    <w:rsid w:val="00A30EFA"/>
    <w:rsid w:val="00A3307B"/>
    <w:rsid w:val="00A47A6A"/>
    <w:rsid w:val="00A47C50"/>
    <w:rsid w:val="00A55DF5"/>
    <w:rsid w:val="00A70703"/>
    <w:rsid w:val="00A70C9E"/>
    <w:rsid w:val="00A73436"/>
    <w:rsid w:val="00A800C6"/>
    <w:rsid w:val="00A846A0"/>
    <w:rsid w:val="00A93093"/>
    <w:rsid w:val="00A934C3"/>
    <w:rsid w:val="00A944C4"/>
    <w:rsid w:val="00A952B7"/>
    <w:rsid w:val="00AA0A3B"/>
    <w:rsid w:val="00AB081E"/>
    <w:rsid w:val="00AB2E7B"/>
    <w:rsid w:val="00AE07E7"/>
    <w:rsid w:val="00AE32FA"/>
    <w:rsid w:val="00AF3688"/>
    <w:rsid w:val="00AF52F7"/>
    <w:rsid w:val="00AF6C16"/>
    <w:rsid w:val="00B05576"/>
    <w:rsid w:val="00B11E4E"/>
    <w:rsid w:val="00B21A14"/>
    <w:rsid w:val="00B25B59"/>
    <w:rsid w:val="00B27CFE"/>
    <w:rsid w:val="00B30E43"/>
    <w:rsid w:val="00B435F6"/>
    <w:rsid w:val="00B5267C"/>
    <w:rsid w:val="00B5397D"/>
    <w:rsid w:val="00B72EE2"/>
    <w:rsid w:val="00B76BB3"/>
    <w:rsid w:val="00B76C78"/>
    <w:rsid w:val="00B76C9F"/>
    <w:rsid w:val="00B912A4"/>
    <w:rsid w:val="00B96CE2"/>
    <w:rsid w:val="00BA3E2C"/>
    <w:rsid w:val="00BA5F1E"/>
    <w:rsid w:val="00BB3F09"/>
    <w:rsid w:val="00BC4207"/>
    <w:rsid w:val="00BD1E06"/>
    <w:rsid w:val="00BD6C67"/>
    <w:rsid w:val="00BE4E62"/>
    <w:rsid w:val="00BF7CD2"/>
    <w:rsid w:val="00C14415"/>
    <w:rsid w:val="00C16332"/>
    <w:rsid w:val="00C37169"/>
    <w:rsid w:val="00C418D2"/>
    <w:rsid w:val="00C42DEC"/>
    <w:rsid w:val="00C5182B"/>
    <w:rsid w:val="00C54BB9"/>
    <w:rsid w:val="00C6306C"/>
    <w:rsid w:val="00C63A6A"/>
    <w:rsid w:val="00C65EF3"/>
    <w:rsid w:val="00C75247"/>
    <w:rsid w:val="00C760A4"/>
    <w:rsid w:val="00C975E0"/>
    <w:rsid w:val="00CA2DB3"/>
    <w:rsid w:val="00CB1708"/>
    <w:rsid w:val="00CB2A99"/>
    <w:rsid w:val="00CB7EB0"/>
    <w:rsid w:val="00CC2406"/>
    <w:rsid w:val="00CC4D30"/>
    <w:rsid w:val="00CC5C2D"/>
    <w:rsid w:val="00CD0312"/>
    <w:rsid w:val="00CD6254"/>
    <w:rsid w:val="00D040B2"/>
    <w:rsid w:val="00D0470E"/>
    <w:rsid w:val="00D1461D"/>
    <w:rsid w:val="00D254A8"/>
    <w:rsid w:val="00D62705"/>
    <w:rsid w:val="00D8716A"/>
    <w:rsid w:val="00D9234B"/>
    <w:rsid w:val="00DA111F"/>
    <w:rsid w:val="00DA116D"/>
    <w:rsid w:val="00DA6789"/>
    <w:rsid w:val="00DB0500"/>
    <w:rsid w:val="00DB3BBF"/>
    <w:rsid w:val="00DC3026"/>
    <w:rsid w:val="00DC3348"/>
    <w:rsid w:val="00DD1FD4"/>
    <w:rsid w:val="00DD4E0E"/>
    <w:rsid w:val="00DF2C14"/>
    <w:rsid w:val="00DF444C"/>
    <w:rsid w:val="00E0533D"/>
    <w:rsid w:val="00E071CC"/>
    <w:rsid w:val="00E15971"/>
    <w:rsid w:val="00E30F74"/>
    <w:rsid w:val="00E31A14"/>
    <w:rsid w:val="00E33408"/>
    <w:rsid w:val="00E33664"/>
    <w:rsid w:val="00E35BD3"/>
    <w:rsid w:val="00E44293"/>
    <w:rsid w:val="00E44F50"/>
    <w:rsid w:val="00E616D4"/>
    <w:rsid w:val="00E67458"/>
    <w:rsid w:val="00E773AC"/>
    <w:rsid w:val="00EC4B01"/>
    <w:rsid w:val="00EC4CC3"/>
    <w:rsid w:val="00EE243E"/>
    <w:rsid w:val="00EE562B"/>
    <w:rsid w:val="00EF22B6"/>
    <w:rsid w:val="00F01182"/>
    <w:rsid w:val="00F1009D"/>
    <w:rsid w:val="00F20281"/>
    <w:rsid w:val="00F32004"/>
    <w:rsid w:val="00F36E15"/>
    <w:rsid w:val="00F52F9F"/>
    <w:rsid w:val="00F711C2"/>
    <w:rsid w:val="00F74168"/>
    <w:rsid w:val="00F83A71"/>
    <w:rsid w:val="00F84635"/>
    <w:rsid w:val="00F85A7D"/>
    <w:rsid w:val="00F87A45"/>
    <w:rsid w:val="00F94E10"/>
    <w:rsid w:val="00F954B2"/>
    <w:rsid w:val="00FA39B1"/>
    <w:rsid w:val="00FB38AD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paragraph" w:customStyle="1" w:styleId="B1">
    <w:name w:val="B1"/>
    <w:basedOn w:val="Normal"/>
    <w:link w:val="B1Char"/>
    <w:qFormat/>
    <w:rsid w:val="00A93093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930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33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33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07C0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80</cp:revision>
  <dcterms:created xsi:type="dcterms:W3CDTF">2021-12-25T08:34:00Z</dcterms:created>
  <dcterms:modified xsi:type="dcterms:W3CDTF">2022-01-10T22:13:00Z</dcterms:modified>
</cp:coreProperties>
</file>